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A24" w:rsidRDefault="00247A46">
      <w:bookmarkStart w:id="0" w:name="_GoBack"/>
      <w:r>
        <w:rPr>
          <w:noProof/>
        </w:rPr>
        <w:drawing>
          <wp:inline distT="0" distB="0" distL="0" distR="0" wp14:anchorId="5E56B006" wp14:editId="3EABB94F">
            <wp:extent cx="9132823" cy="6600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0" contrast="40000"/>
                      <a:extLst>
                        <a:ext uri="{28A0092B-C50C-407E-A947-70E740481C1C}">
                          <a14:useLocalDpi xmlns:a14="http://schemas.microsoft.com/office/drawing/2010/main" val="0"/>
                        </a:ext>
                      </a:extLst>
                    </a:blip>
                    <a:srcRect/>
                    <a:stretch>
                      <a:fillRect/>
                    </a:stretch>
                  </pic:blipFill>
                  <pic:spPr bwMode="auto">
                    <a:xfrm>
                      <a:off x="0" y="0"/>
                      <a:ext cx="9144998" cy="6609625"/>
                    </a:xfrm>
                    <a:prstGeom prst="rect">
                      <a:avLst/>
                    </a:prstGeom>
                    <a:noFill/>
                    <a:ln>
                      <a:noFill/>
                    </a:ln>
                  </pic:spPr>
                </pic:pic>
              </a:graphicData>
            </a:graphic>
          </wp:inline>
        </w:drawing>
      </w:r>
      <w:bookmarkEnd w:id="0"/>
    </w:p>
    <w:p w:rsidR="00C95A24" w:rsidRDefault="00247A46">
      <w:r>
        <w:rPr>
          <w:noProof/>
        </w:rPr>
        <w:lastRenderedPageBreak/>
        <w:drawing>
          <wp:inline distT="0" distB="0" distL="0" distR="0" wp14:anchorId="00B92927" wp14:editId="5A6C7477">
            <wp:extent cx="9144000" cy="685651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0" cy="6856511"/>
                    </a:xfrm>
                    <a:prstGeom prst="rect">
                      <a:avLst/>
                    </a:prstGeom>
                    <a:noFill/>
                    <a:ln>
                      <a:noFill/>
                    </a:ln>
                  </pic:spPr>
                </pic:pic>
              </a:graphicData>
            </a:graphic>
          </wp:inline>
        </w:drawing>
      </w:r>
    </w:p>
    <w:tbl>
      <w:tblPr>
        <w:tblStyle w:val="TableGrid"/>
        <w:tblW w:w="13469" w:type="dxa"/>
        <w:tblLayout w:type="fixed"/>
        <w:tblLook w:val="04A0" w:firstRow="1" w:lastRow="0" w:firstColumn="1" w:lastColumn="0" w:noHBand="0" w:noVBand="1"/>
      </w:tblPr>
      <w:tblGrid>
        <w:gridCol w:w="2244"/>
        <w:gridCol w:w="2245"/>
        <w:gridCol w:w="2245"/>
        <w:gridCol w:w="2245"/>
        <w:gridCol w:w="2245"/>
        <w:gridCol w:w="2245"/>
      </w:tblGrid>
      <w:tr w:rsidR="00980C28" w:rsidTr="00EB1023">
        <w:tc>
          <w:tcPr>
            <w:tcW w:w="13469" w:type="dxa"/>
            <w:gridSpan w:val="6"/>
            <w:shd w:val="clear" w:color="auto" w:fill="B8CCE4" w:themeFill="accent1" w:themeFillTint="66"/>
          </w:tcPr>
          <w:p w:rsidR="00980C28" w:rsidRDefault="00C95A24" w:rsidP="00E6401A">
            <w:r>
              <w:lastRenderedPageBreak/>
              <w:t>LEVEL</w:t>
            </w:r>
            <w:r w:rsidR="00980C28">
              <w:t xml:space="preserve"> ONE: Nuts and Bolts. These are the basics needed to perform advising functions and activities. Level One certification addresses technical knowledge and skills and provides a consistent foundation for all academic advisors. Proficiency can be attained through training workshops, online certification (</w:t>
            </w:r>
            <w:proofErr w:type="spellStart"/>
            <w:r w:rsidR="00980C28">
              <w:t>eg</w:t>
            </w:r>
            <w:proofErr w:type="spellEnd"/>
            <w:r w:rsidR="00980C28">
              <w:t>, FERPA), self-assessment, or peer assessment.</w:t>
            </w:r>
          </w:p>
        </w:tc>
      </w:tr>
      <w:tr w:rsidR="00980C28" w:rsidTr="00EB1023">
        <w:tc>
          <w:tcPr>
            <w:tcW w:w="2244" w:type="dxa"/>
          </w:tcPr>
          <w:p w:rsidR="00980C28" w:rsidRPr="00980C28" w:rsidRDefault="00980C28" w:rsidP="00094220">
            <w:pPr>
              <w:rPr>
                <w:b/>
                <w:color w:val="0066FF"/>
                <w:sz w:val="24"/>
                <w:szCs w:val="24"/>
              </w:rPr>
            </w:pPr>
            <w:r w:rsidRPr="00980C28">
              <w:rPr>
                <w:b/>
                <w:color w:val="0066FF"/>
                <w:sz w:val="24"/>
                <w:szCs w:val="24"/>
              </w:rPr>
              <w:t>Tools</w:t>
            </w:r>
          </w:p>
        </w:tc>
        <w:tc>
          <w:tcPr>
            <w:tcW w:w="2245" w:type="dxa"/>
          </w:tcPr>
          <w:p w:rsidR="00980C28" w:rsidRPr="00980C28" w:rsidRDefault="00980C28" w:rsidP="00094220">
            <w:pPr>
              <w:rPr>
                <w:b/>
                <w:color w:val="0066FF"/>
                <w:sz w:val="24"/>
                <w:szCs w:val="24"/>
              </w:rPr>
            </w:pPr>
            <w:r w:rsidRPr="00980C28">
              <w:rPr>
                <w:b/>
                <w:color w:val="0066FF"/>
                <w:sz w:val="24"/>
                <w:szCs w:val="24"/>
              </w:rPr>
              <w:t>Legal</w:t>
            </w:r>
          </w:p>
        </w:tc>
        <w:tc>
          <w:tcPr>
            <w:tcW w:w="2245" w:type="dxa"/>
          </w:tcPr>
          <w:p w:rsidR="00980C28" w:rsidRPr="00980C28" w:rsidRDefault="00980C28" w:rsidP="00094220">
            <w:pPr>
              <w:rPr>
                <w:b/>
                <w:color w:val="0066FF"/>
                <w:sz w:val="24"/>
                <w:szCs w:val="24"/>
              </w:rPr>
            </w:pPr>
            <w:r w:rsidRPr="00980C28">
              <w:rPr>
                <w:b/>
                <w:color w:val="0066FF"/>
                <w:sz w:val="24"/>
                <w:szCs w:val="24"/>
              </w:rPr>
              <w:t>Interpersonal Skills</w:t>
            </w:r>
          </w:p>
        </w:tc>
        <w:tc>
          <w:tcPr>
            <w:tcW w:w="2245" w:type="dxa"/>
          </w:tcPr>
          <w:p w:rsidR="00980C28" w:rsidRPr="00980C28" w:rsidRDefault="00980C28" w:rsidP="00094220">
            <w:pPr>
              <w:rPr>
                <w:b/>
                <w:color w:val="0066FF"/>
                <w:sz w:val="24"/>
                <w:szCs w:val="24"/>
              </w:rPr>
            </w:pPr>
            <w:r w:rsidRPr="00980C28">
              <w:rPr>
                <w:b/>
                <w:color w:val="0066FF"/>
                <w:sz w:val="24"/>
                <w:szCs w:val="24"/>
              </w:rPr>
              <w:t>Philosophy and Theoretical Foundations</w:t>
            </w:r>
          </w:p>
        </w:tc>
        <w:tc>
          <w:tcPr>
            <w:tcW w:w="2245" w:type="dxa"/>
          </w:tcPr>
          <w:p w:rsidR="00980C28" w:rsidRPr="00980C28" w:rsidRDefault="00980C28" w:rsidP="00094220">
            <w:pPr>
              <w:rPr>
                <w:b/>
                <w:color w:val="0066FF"/>
                <w:sz w:val="24"/>
                <w:szCs w:val="24"/>
              </w:rPr>
            </w:pPr>
            <w:r w:rsidRPr="00980C28">
              <w:rPr>
                <w:b/>
                <w:color w:val="0066FF"/>
                <w:sz w:val="24"/>
                <w:szCs w:val="24"/>
              </w:rPr>
              <w:t>Policies</w:t>
            </w:r>
          </w:p>
        </w:tc>
        <w:tc>
          <w:tcPr>
            <w:tcW w:w="2245" w:type="dxa"/>
          </w:tcPr>
          <w:p w:rsidR="00980C28" w:rsidRPr="00980C28" w:rsidRDefault="00980C28" w:rsidP="00094220">
            <w:pPr>
              <w:rPr>
                <w:b/>
                <w:color w:val="0066FF"/>
                <w:sz w:val="24"/>
                <w:szCs w:val="24"/>
              </w:rPr>
            </w:pPr>
            <w:r w:rsidRPr="00980C28">
              <w:rPr>
                <w:b/>
                <w:color w:val="0066FF"/>
                <w:sz w:val="24"/>
                <w:szCs w:val="24"/>
              </w:rPr>
              <w:t>Resources</w:t>
            </w:r>
          </w:p>
        </w:tc>
      </w:tr>
      <w:tr w:rsidR="00980C28" w:rsidTr="00EB1023">
        <w:tc>
          <w:tcPr>
            <w:tcW w:w="2244" w:type="dxa"/>
          </w:tcPr>
          <w:p w:rsidR="00980C28" w:rsidRDefault="00980C28">
            <w:r>
              <w:t>Ability to read and interpret degree audits</w:t>
            </w:r>
          </w:p>
          <w:p w:rsidR="00980C28" w:rsidRDefault="00980C28"/>
          <w:p w:rsidR="00980C28" w:rsidRDefault="00980C28">
            <w:r>
              <w:t>Ability to manage ISIS</w:t>
            </w:r>
          </w:p>
          <w:p w:rsidR="00980C28" w:rsidRDefault="00980C28" w:rsidP="00980C28">
            <w:pPr>
              <w:pStyle w:val="ListParagraph"/>
              <w:numPr>
                <w:ilvl w:val="0"/>
                <w:numId w:val="1"/>
              </w:numPr>
            </w:pPr>
            <w:r>
              <w:t>Drop/add classes</w:t>
            </w:r>
          </w:p>
          <w:p w:rsidR="00980C28" w:rsidRDefault="00980C28" w:rsidP="00980C28">
            <w:pPr>
              <w:pStyle w:val="ListParagraph"/>
              <w:numPr>
                <w:ilvl w:val="0"/>
                <w:numId w:val="1"/>
              </w:numPr>
            </w:pPr>
            <w:r>
              <w:t>Advisor comments</w:t>
            </w:r>
          </w:p>
          <w:p w:rsidR="00980C28" w:rsidRDefault="00980C28" w:rsidP="00980C28">
            <w:pPr>
              <w:pStyle w:val="ListParagraph"/>
              <w:numPr>
                <w:ilvl w:val="0"/>
                <w:numId w:val="1"/>
              </w:numPr>
            </w:pPr>
            <w:r>
              <w:t>Add/remove holds</w:t>
            </w:r>
          </w:p>
          <w:p w:rsidR="00980C28" w:rsidRDefault="00980C28" w:rsidP="00980C28">
            <w:pPr>
              <w:pStyle w:val="ListParagraph"/>
              <w:numPr>
                <w:ilvl w:val="0"/>
                <w:numId w:val="1"/>
              </w:numPr>
            </w:pPr>
            <w:r>
              <w:t>Change major (how to)</w:t>
            </w:r>
          </w:p>
          <w:p w:rsidR="00980C28" w:rsidRDefault="00980C28" w:rsidP="00980C28">
            <w:pPr>
              <w:pStyle w:val="ListParagraph"/>
              <w:numPr>
                <w:ilvl w:val="0"/>
                <w:numId w:val="1"/>
              </w:numPr>
            </w:pPr>
          </w:p>
          <w:p w:rsidR="00980C28" w:rsidRDefault="00980C28"/>
          <w:p w:rsidR="00980C28" w:rsidRDefault="00980C28">
            <w:r>
              <w:t>Familiarity with majors in advisor’s specific college</w:t>
            </w:r>
          </w:p>
          <w:p w:rsidR="00980C28" w:rsidRDefault="00980C28"/>
          <w:p w:rsidR="00980C28" w:rsidRDefault="00980C28">
            <w:r>
              <w:t>Ability to calculate GPA and deficit points</w:t>
            </w:r>
          </w:p>
          <w:p w:rsidR="00980C28" w:rsidRDefault="00980C28"/>
          <w:p w:rsidR="00980C28" w:rsidRDefault="00980C28">
            <w:r>
              <w:t>NERDC</w:t>
            </w:r>
          </w:p>
          <w:p w:rsidR="00980C28" w:rsidRDefault="00980C28"/>
          <w:p w:rsidR="00980C28" w:rsidRDefault="00980C28"/>
          <w:p w:rsidR="00980C28" w:rsidRDefault="00980C28"/>
          <w:p w:rsidR="00980C28" w:rsidRDefault="00980C28"/>
          <w:p w:rsidR="00980C28" w:rsidRDefault="00980C28"/>
        </w:tc>
        <w:tc>
          <w:tcPr>
            <w:tcW w:w="2245" w:type="dxa"/>
          </w:tcPr>
          <w:p w:rsidR="00980C28" w:rsidRDefault="00980C28">
            <w:r>
              <w:t>FERPA</w:t>
            </w:r>
          </w:p>
          <w:p w:rsidR="00980C28" w:rsidRDefault="00980C28"/>
        </w:tc>
        <w:tc>
          <w:tcPr>
            <w:tcW w:w="2245" w:type="dxa"/>
          </w:tcPr>
          <w:p w:rsidR="00980C28" w:rsidRDefault="00980C28">
            <w:r>
              <w:t>Communication Confidence (HR)</w:t>
            </w:r>
          </w:p>
          <w:p w:rsidR="00980C28" w:rsidRDefault="00980C28"/>
          <w:p w:rsidR="00980C28" w:rsidRDefault="00980C28">
            <w:r>
              <w:t>Listening Skills (HR)</w:t>
            </w:r>
          </w:p>
          <w:p w:rsidR="00980C28" w:rsidRDefault="00980C28"/>
          <w:p w:rsidR="00980C28" w:rsidRDefault="00980C28">
            <w:r>
              <w:t>Diversity at Work (HR)</w:t>
            </w:r>
          </w:p>
        </w:tc>
        <w:tc>
          <w:tcPr>
            <w:tcW w:w="2245" w:type="dxa"/>
          </w:tcPr>
          <w:p w:rsidR="00980C28" w:rsidRDefault="00980C28" w:rsidP="00E6401A">
            <w:r>
              <w:t>NACADA Core Values</w:t>
            </w:r>
          </w:p>
        </w:tc>
        <w:tc>
          <w:tcPr>
            <w:tcW w:w="2245" w:type="dxa"/>
          </w:tcPr>
          <w:p w:rsidR="00980C28" w:rsidRDefault="00980C28" w:rsidP="00E6401A">
            <w:r>
              <w:t>Crisis communication protocol</w:t>
            </w:r>
          </w:p>
          <w:p w:rsidR="00980C28" w:rsidRDefault="00980C28" w:rsidP="00E6401A"/>
          <w:p w:rsidR="00980C28" w:rsidRDefault="00980C28" w:rsidP="00E6401A">
            <w:r>
              <w:t>Summer requirement</w:t>
            </w:r>
          </w:p>
          <w:p w:rsidR="00980C28" w:rsidRDefault="00980C28" w:rsidP="00E6401A"/>
          <w:p w:rsidR="00980C28" w:rsidRDefault="00980C28" w:rsidP="00E6401A">
            <w:r>
              <w:t>Excess hours</w:t>
            </w:r>
          </w:p>
          <w:p w:rsidR="00980C28" w:rsidRDefault="00980C28" w:rsidP="00E6401A"/>
          <w:p w:rsidR="00980C28" w:rsidRDefault="00980C28" w:rsidP="00E6401A">
            <w:r>
              <w:t xml:space="preserve">Critical tracking </w:t>
            </w:r>
          </w:p>
          <w:p w:rsidR="00980C28" w:rsidRDefault="00980C28" w:rsidP="00E6401A">
            <w:r>
              <w:t>Requirements</w:t>
            </w:r>
          </w:p>
          <w:p w:rsidR="00980C28" w:rsidRDefault="00980C28" w:rsidP="00E6401A"/>
          <w:p w:rsidR="00980C28" w:rsidRDefault="00980C28" w:rsidP="00E6401A">
            <w:r>
              <w:t>Critical dates and deadlines</w:t>
            </w:r>
          </w:p>
          <w:p w:rsidR="00980C28" w:rsidRDefault="00980C28" w:rsidP="00E6401A"/>
          <w:p w:rsidR="00980C28" w:rsidRDefault="00980C28" w:rsidP="00E6401A">
            <w:r>
              <w:t>Changing majors (when)</w:t>
            </w:r>
          </w:p>
          <w:p w:rsidR="00980C28" w:rsidRDefault="00980C28" w:rsidP="00E6401A"/>
          <w:p w:rsidR="00980C28" w:rsidRDefault="00980C28" w:rsidP="00E6401A">
            <w:r>
              <w:t>Schedule adjustment (with/without fee liability)</w:t>
            </w:r>
          </w:p>
          <w:p w:rsidR="00980C28" w:rsidRDefault="00980C28" w:rsidP="00E6401A"/>
          <w:p w:rsidR="00980C28" w:rsidRDefault="00980C28" w:rsidP="00E6401A">
            <w:r>
              <w:t xml:space="preserve">Probation </w:t>
            </w:r>
          </w:p>
          <w:p w:rsidR="00980C28" w:rsidRDefault="00980C28" w:rsidP="00980C28">
            <w:pPr>
              <w:pStyle w:val="ListParagraph"/>
              <w:numPr>
                <w:ilvl w:val="0"/>
                <w:numId w:val="2"/>
              </w:numPr>
            </w:pPr>
            <w:r>
              <w:t>Tracking</w:t>
            </w:r>
          </w:p>
          <w:p w:rsidR="00980C28" w:rsidRDefault="00980C28" w:rsidP="00980C28">
            <w:pPr>
              <w:pStyle w:val="ListParagraph"/>
              <w:numPr>
                <w:ilvl w:val="0"/>
                <w:numId w:val="2"/>
              </w:numPr>
            </w:pPr>
            <w:r>
              <w:t>Academic</w:t>
            </w:r>
          </w:p>
          <w:p w:rsidR="00980C28" w:rsidRDefault="00980C28" w:rsidP="00980C28"/>
          <w:p w:rsidR="00980C28" w:rsidRDefault="00980C28" w:rsidP="00980C28">
            <w:r>
              <w:t>Articulation and transfer requirements</w:t>
            </w:r>
          </w:p>
          <w:p w:rsidR="00980C28" w:rsidRDefault="00980C28" w:rsidP="00E6401A"/>
          <w:p w:rsidR="00980C28" w:rsidRDefault="00980C28" w:rsidP="00E6401A"/>
        </w:tc>
        <w:tc>
          <w:tcPr>
            <w:tcW w:w="2245" w:type="dxa"/>
          </w:tcPr>
          <w:p w:rsidR="00980C28" w:rsidRDefault="00980C28" w:rsidP="00E6401A">
            <w:r>
              <w:t>Knowledge of campus resources</w:t>
            </w:r>
          </w:p>
          <w:p w:rsidR="00980C28" w:rsidRDefault="00980C28" w:rsidP="00980C28">
            <w:pPr>
              <w:pStyle w:val="ListParagraph"/>
              <w:numPr>
                <w:ilvl w:val="0"/>
                <w:numId w:val="3"/>
              </w:numPr>
            </w:pPr>
            <w:r>
              <w:t>CWC</w:t>
            </w:r>
          </w:p>
          <w:p w:rsidR="00980C28" w:rsidRDefault="00980C28" w:rsidP="00980C28">
            <w:pPr>
              <w:pStyle w:val="ListParagraph"/>
              <w:numPr>
                <w:ilvl w:val="0"/>
                <w:numId w:val="3"/>
              </w:numPr>
            </w:pPr>
            <w:r>
              <w:t>CRC</w:t>
            </w:r>
          </w:p>
          <w:p w:rsidR="00980C28" w:rsidRDefault="00980C28" w:rsidP="00980C28">
            <w:pPr>
              <w:pStyle w:val="ListParagraph"/>
              <w:numPr>
                <w:ilvl w:val="0"/>
                <w:numId w:val="3"/>
              </w:numPr>
            </w:pPr>
            <w:r>
              <w:t>Libraries</w:t>
            </w:r>
          </w:p>
          <w:p w:rsidR="00980C28" w:rsidRDefault="00980C28" w:rsidP="00980C28">
            <w:pPr>
              <w:pStyle w:val="ListParagraph"/>
              <w:numPr>
                <w:ilvl w:val="0"/>
                <w:numId w:val="3"/>
              </w:numPr>
            </w:pPr>
            <w:r>
              <w:t>DSO</w:t>
            </w:r>
          </w:p>
          <w:p w:rsidR="00980C28" w:rsidRDefault="00980C28" w:rsidP="00980C28">
            <w:pPr>
              <w:pStyle w:val="ListParagraph"/>
              <w:numPr>
                <w:ilvl w:val="0"/>
                <w:numId w:val="3"/>
              </w:numPr>
            </w:pPr>
            <w:r>
              <w:t>Study Abroad</w:t>
            </w:r>
          </w:p>
          <w:p w:rsidR="00980C28" w:rsidRDefault="00980C28" w:rsidP="00980C28">
            <w:pPr>
              <w:pStyle w:val="ListParagraph"/>
              <w:numPr>
                <w:ilvl w:val="0"/>
                <w:numId w:val="3"/>
              </w:numPr>
            </w:pPr>
            <w:r>
              <w:t>Undergraduate Research</w:t>
            </w:r>
          </w:p>
        </w:tc>
      </w:tr>
    </w:tbl>
    <w:p w:rsidR="008F79BD" w:rsidRDefault="008F79BD"/>
    <w:p w:rsidR="00247A46" w:rsidRDefault="00247A46"/>
    <w:p w:rsidR="00247A46" w:rsidRDefault="00247A46"/>
    <w:p w:rsidR="00247A46" w:rsidRDefault="00247A46">
      <w:r>
        <w:rPr>
          <w:noProof/>
        </w:rPr>
        <w:lastRenderedPageBreak/>
        <w:drawing>
          <wp:inline distT="0" distB="0" distL="0" distR="0">
            <wp:extent cx="9144000" cy="685651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0" cy="6856511"/>
                    </a:xfrm>
                    <a:prstGeom prst="rect">
                      <a:avLst/>
                    </a:prstGeom>
                    <a:noFill/>
                    <a:ln>
                      <a:noFill/>
                    </a:ln>
                  </pic:spPr>
                </pic:pic>
              </a:graphicData>
            </a:graphic>
          </wp:inline>
        </w:drawing>
      </w:r>
    </w:p>
    <w:p w:rsidR="00247A46" w:rsidRDefault="00247A46">
      <w:r>
        <w:rPr>
          <w:noProof/>
        </w:rPr>
        <w:lastRenderedPageBreak/>
        <w:drawing>
          <wp:inline distT="0" distB="0" distL="0" distR="0">
            <wp:extent cx="9144000" cy="685651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6856511"/>
                    </a:xfrm>
                    <a:prstGeom prst="rect">
                      <a:avLst/>
                    </a:prstGeom>
                    <a:noFill/>
                    <a:ln>
                      <a:noFill/>
                    </a:ln>
                  </pic:spPr>
                </pic:pic>
              </a:graphicData>
            </a:graphic>
          </wp:inline>
        </w:drawing>
      </w:r>
    </w:p>
    <w:tbl>
      <w:tblPr>
        <w:tblStyle w:val="TableGrid"/>
        <w:tblW w:w="13469" w:type="dxa"/>
        <w:tblLayout w:type="fixed"/>
        <w:tblLook w:val="04A0" w:firstRow="1" w:lastRow="0" w:firstColumn="1" w:lastColumn="0" w:noHBand="0" w:noVBand="1"/>
      </w:tblPr>
      <w:tblGrid>
        <w:gridCol w:w="2244"/>
        <w:gridCol w:w="2245"/>
        <w:gridCol w:w="2245"/>
        <w:gridCol w:w="2245"/>
        <w:gridCol w:w="2245"/>
        <w:gridCol w:w="2245"/>
      </w:tblGrid>
      <w:tr w:rsidR="00247A46" w:rsidTr="002F13B0">
        <w:tc>
          <w:tcPr>
            <w:tcW w:w="13469" w:type="dxa"/>
            <w:gridSpan w:val="6"/>
            <w:shd w:val="clear" w:color="auto" w:fill="FABF8F" w:themeFill="accent6" w:themeFillTint="99"/>
          </w:tcPr>
          <w:p w:rsidR="00247A46" w:rsidRDefault="00247A46" w:rsidP="002F13B0">
            <w:r>
              <w:lastRenderedPageBreak/>
              <w:t xml:space="preserve">LEVEL TWO:  Professional Development.  Advisors will pursue professional development opportunities that expand their skills and knowledge base, while developing areas of expertise relevant to their assignments, interests, and student populations. Training will be offered through workshops that are either already available at UF, or will be developed in collaboration with UAC Professional Development and other college and campus resources. The UAC Annual Advisor Conference offers a good format for presentation of Level Two training. UF Human Resources will provide access to the registration/tracking system used for their training sessions, allowing collection of information for advisor portfolios, tracking, and assessment. </w:t>
            </w:r>
          </w:p>
        </w:tc>
      </w:tr>
      <w:tr w:rsidR="00247A46" w:rsidTr="002F13B0">
        <w:tc>
          <w:tcPr>
            <w:tcW w:w="2244" w:type="dxa"/>
          </w:tcPr>
          <w:p w:rsidR="00247A46" w:rsidRPr="00980C28" w:rsidRDefault="00247A46" w:rsidP="002F13B0">
            <w:pPr>
              <w:rPr>
                <w:b/>
                <w:color w:val="0066FF"/>
                <w:sz w:val="24"/>
                <w:szCs w:val="24"/>
              </w:rPr>
            </w:pPr>
            <w:r w:rsidRPr="00980C28">
              <w:rPr>
                <w:b/>
                <w:color w:val="0066FF"/>
                <w:sz w:val="24"/>
                <w:szCs w:val="24"/>
              </w:rPr>
              <w:t>Tools</w:t>
            </w:r>
          </w:p>
        </w:tc>
        <w:tc>
          <w:tcPr>
            <w:tcW w:w="2245" w:type="dxa"/>
          </w:tcPr>
          <w:p w:rsidR="00247A46" w:rsidRPr="00980C28" w:rsidRDefault="00247A46" w:rsidP="002F13B0">
            <w:pPr>
              <w:rPr>
                <w:b/>
                <w:color w:val="0066FF"/>
                <w:sz w:val="24"/>
                <w:szCs w:val="24"/>
              </w:rPr>
            </w:pPr>
            <w:r w:rsidRPr="00980C28">
              <w:rPr>
                <w:b/>
                <w:color w:val="0066FF"/>
                <w:sz w:val="24"/>
                <w:szCs w:val="24"/>
              </w:rPr>
              <w:t>Legal</w:t>
            </w:r>
          </w:p>
        </w:tc>
        <w:tc>
          <w:tcPr>
            <w:tcW w:w="2245" w:type="dxa"/>
          </w:tcPr>
          <w:p w:rsidR="00247A46" w:rsidRPr="00980C28" w:rsidRDefault="00247A46" w:rsidP="002F13B0">
            <w:pPr>
              <w:rPr>
                <w:b/>
                <w:color w:val="0066FF"/>
                <w:sz w:val="24"/>
                <w:szCs w:val="24"/>
              </w:rPr>
            </w:pPr>
            <w:r w:rsidRPr="00980C28">
              <w:rPr>
                <w:b/>
                <w:color w:val="0066FF"/>
                <w:sz w:val="24"/>
                <w:szCs w:val="24"/>
              </w:rPr>
              <w:t>Interpersonal Skills</w:t>
            </w:r>
          </w:p>
        </w:tc>
        <w:tc>
          <w:tcPr>
            <w:tcW w:w="2245" w:type="dxa"/>
          </w:tcPr>
          <w:p w:rsidR="00247A46" w:rsidRPr="00980C28" w:rsidRDefault="00247A46" w:rsidP="002F13B0">
            <w:pPr>
              <w:rPr>
                <w:b/>
                <w:color w:val="0066FF"/>
                <w:sz w:val="24"/>
                <w:szCs w:val="24"/>
              </w:rPr>
            </w:pPr>
            <w:r w:rsidRPr="00980C28">
              <w:rPr>
                <w:b/>
                <w:color w:val="0066FF"/>
                <w:sz w:val="24"/>
                <w:szCs w:val="24"/>
              </w:rPr>
              <w:t>Philosophy and Theoretical Foundations</w:t>
            </w:r>
          </w:p>
        </w:tc>
        <w:tc>
          <w:tcPr>
            <w:tcW w:w="2245" w:type="dxa"/>
          </w:tcPr>
          <w:p w:rsidR="00247A46" w:rsidRPr="00980C28" w:rsidRDefault="00247A46" w:rsidP="002F13B0">
            <w:pPr>
              <w:rPr>
                <w:b/>
                <w:color w:val="0066FF"/>
                <w:sz w:val="24"/>
                <w:szCs w:val="24"/>
              </w:rPr>
            </w:pPr>
            <w:r w:rsidRPr="00980C28">
              <w:rPr>
                <w:b/>
                <w:color w:val="0066FF"/>
                <w:sz w:val="24"/>
                <w:szCs w:val="24"/>
              </w:rPr>
              <w:t>Policies</w:t>
            </w:r>
          </w:p>
        </w:tc>
        <w:tc>
          <w:tcPr>
            <w:tcW w:w="2245" w:type="dxa"/>
          </w:tcPr>
          <w:p w:rsidR="00247A46" w:rsidRPr="00980C28" w:rsidRDefault="00247A46" w:rsidP="002F13B0">
            <w:pPr>
              <w:rPr>
                <w:b/>
                <w:color w:val="0066FF"/>
                <w:sz w:val="24"/>
                <w:szCs w:val="24"/>
              </w:rPr>
            </w:pPr>
            <w:r w:rsidRPr="00980C28">
              <w:rPr>
                <w:b/>
                <w:color w:val="0066FF"/>
                <w:sz w:val="24"/>
                <w:szCs w:val="24"/>
              </w:rPr>
              <w:t>Resources</w:t>
            </w:r>
          </w:p>
        </w:tc>
      </w:tr>
      <w:tr w:rsidR="00247A46" w:rsidTr="002F13B0">
        <w:tc>
          <w:tcPr>
            <w:tcW w:w="2244" w:type="dxa"/>
          </w:tcPr>
          <w:p w:rsidR="00247A46" w:rsidRDefault="00247A46" w:rsidP="002F13B0">
            <w:r>
              <w:t>Grade-A-Gator workshop (HR)</w:t>
            </w:r>
          </w:p>
          <w:p w:rsidR="00247A46" w:rsidRDefault="00247A46" w:rsidP="002F13B0"/>
          <w:p w:rsidR="00247A46" w:rsidRDefault="00247A46" w:rsidP="002F13B0">
            <w:r>
              <w:t>Familiarity with majors across campus</w:t>
            </w:r>
          </w:p>
          <w:p w:rsidR="00247A46" w:rsidRDefault="00247A46" w:rsidP="002F13B0"/>
          <w:p w:rsidR="00247A46" w:rsidRDefault="00247A46" w:rsidP="002F13B0">
            <w:r>
              <w:t>UT sign-off</w:t>
            </w:r>
          </w:p>
          <w:p w:rsidR="00247A46" w:rsidRDefault="00247A46" w:rsidP="002F13B0"/>
          <w:p w:rsidR="00247A46" w:rsidRDefault="00247A46" w:rsidP="002F13B0">
            <w:r>
              <w:t>Adjust degree audits</w:t>
            </w:r>
          </w:p>
          <w:p w:rsidR="00247A46" w:rsidRDefault="00247A46" w:rsidP="002F13B0"/>
          <w:p w:rsidR="00247A46" w:rsidRDefault="00247A46" w:rsidP="002F13B0"/>
        </w:tc>
        <w:tc>
          <w:tcPr>
            <w:tcW w:w="2245" w:type="dxa"/>
          </w:tcPr>
          <w:p w:rsidR="00247A46" w:rsidRDefault="00247A46" w:rsidP="002F13B0">
            <w:r>
              <w:t>Immigration 101 (HR)</w:t>
            </w:r>
          </w:p>
          <w:p w:rsidR="00247A46" w:rsidRDefault="00247A46" w:rsidP="002F13B0"/>
          <w:p w:rsidR="00247A46" w:rsidRDefault="00247A46" w:rsidP="002F13B0">
            <w:r>
              <w:t>Guide to Graduate Education (HR)</w:t>
            </w:r>
          </w:p>
          <w:p w:rsidR="00247A46" w:rsidRDefault="00247A46" w:rsidP="002F13B0"/>
          <w:p w:rsidR="00247A46" w:rsidRDefault="00247A46" w:rsidP="002F13B0">
            <w:r>
              <w:t>Advising student organizations</w:t>
            </w:r>
          </w:p>
        </w:tc>
        <w:tc>
          <w:tcPr>
            <w:tcW w:w="2245" w:type="dxa"/>
          </w:tcPr>
          <w:p w:rsidR="00247A46" w:rsidRDefault="00247A46" w:rsidP="002F13B0">
            <w:r>
              <w:t>Coaching for Success (HR)</w:t>
            </w:r>
          </w:p>
          <w:p w:rsidR="00247A46" w:rsidRDefault="00247A46" w:rsidP="002F13B0">
            <w:r>
              <w:t>Working with troubled students (CWC)</w:t>
            </w:r>
          </w:p>
          <w:p w:rsidR="00247A46" w:rsidRDefault="00247A46" w:rsidP="002F13B0"/>
          <w:p w:rsidR="00247A46" w:rsidRDefault="00247A46" w:rsidP="002F13B0">
            <w:proofErr w:type="spellStart"/>
            <w:r>
              <w:t>Kognito</w:t>
            </w:r>
            <w:proofErr w:type="spellEnd"/>
            <w:r>
              <w:t xml:space="preserve"> training: Stressed Students: How you can help (online through CWC)</w:t>
            </w:r>
          </w:p>
          <w:p w:rsidR="00247A46" w:rsidRDefault="00247A46" w:rsidP="002F13B0"/>
          <w:p w:rsidR="00247A46" w:rsidRDefault="00247A46" w:rsidP="002F13B0">
            <w:r>
              <w:t>Emotional Intelligence (HR)</w:t>
            </w:r>
          </w:p>
          <w:p w:rsidR="00247A46" w:rsidRDefault="00247A46" w:rsidP="002F13B0"/>
          <w:p w:rsidR="00247A46" w:rsidRDefault="00247A46" w:rsidP="002F13B0">
            <w:r>
              <w:t>Thinking Strategically: Using Purpose, Vision and Goals to Get Results (HR)</w:t>
            </w:r>
          </w:p>
          <w:p w:rsidR="00247A46" w:rsidRDefault="00247A46" w:rsidP="002F13B0"/>
          <w:p w:rsidR="00247A46" w:rsidRDefault="00247A46" w:rsidP="002F13B0">
            <w:r>
              <w:t>Gator Allies training (HR)</w:t>
            </w:r>
          </w:p>
          <w:p w:rsidR="00247A46" w:rsidRDefault="00247A46" w:rsidP="002F13B0"/>
          <w:p w:rsidR="00247A46" w:rsidRDefault="00247A46" w:rsidP="002F13B0"/>
          <w:p w:rsidR="00247A46" w:rsidRDefault="00247A46" w:rsidP="002F13B0"/>
        </w:tc>
        <w:tc>
          <w:tcPr>
            <w:tcW w:w="2245" w:type="dxa"/>
          </w:tcPr>
          <w:p w:rsidR="00247A46" w:rsidRDefault="00247A46" w:rsidP="002F13B0">
            <w:r>
              <w:t xml:space="preserve">Participation in  professional development activities targeting foundations of academic advising: </w:t>
            </w:r>
          </w:p>
          <w:p w:rsidR="00247A46" w:rsidRDefault="00247A46" w:rsidP="002F13B0"/>
          <w:p w:rsidR="00247A46" w:rsidRDefault="00247A46" w:rsidP="002F13B0">
            <w:r>
              <w:t>NACADA Webinars and Conferences</w:t>
            </w:r>
          </w:p>
          <w:p w:rsidR="00247A46" w:rsidRDefault="00247A46" w:rsidP="002F13B0"/>
          <w:p w:rsidR="00247A46" w:rsidRDefault="00247A46" w:rsidP="002F13B0">
            <w:r>
              <w:t>UAC annual advising conference</w:t>
            </w:r>
          </w:p>
          <w:p w:rsidR="00247A46" w:rsidRDefault="00247A46" w:rsidP="002F13B0"/>
          <w:p w:rsidR="00247A46" w:rsidRDefault="00247A46" w:rsidP="002F13B0"/>
        </w:tc>
        <w:tc>
          <w:tcPr>
            <w:tcW w:w="2245" w:type="dxa"/>
          </w:tcPr>
          <w:p w:rsidR="00247A46" w:rsidRDefault="00247A46" w:rsidP="002F13B0">
            <w:r>
              <w:t>Academic progress petitions</w:t>
            </w:r>
          </w:p>
          <w:p w:rsidR="00247A46" w:rsidRDefault="00247A46" w:rsidP="002F13B0"/>
          <w:p w:rsidR="00247A46" w:rsidRDefault="00247A46" w:rsidP="002F13B0">
            <w:r>
              <w:t>University petitions</w:t>
            </w:r>
          </w:p>
          <w:p w:rsidR="00247A46" w:rsidRDefault="00247A46" w:rsidP="002F13B0"/>
          <w:p w:rsidR="00247A46" w:rsidRDefault="00247A46" w:rsidP="002F13B0">
            <w:r>
              <w:t>Medical</w:t>
            </w:r>
          </w:p>
          <w:p w:rsidR="00247A46" w:rsidRDefault="00247A46" w:rsidP="002F13B0"/>
          <w:p w:rsidR="00247A46" w:rsidRDefault="00247A46" w:rsidP="002F13B0">
            <w:r>
              <w:t>College/</w:t>
            </w:r>
            <w:proofErr w:type="spellStart"/>
            <w:r>
              <w:t>dept</w:t>
            </w:r>
            <w:proofErr w:type="spellEnd"/>
            <w:r>
              <w:t xml:space="preserve"> petitions (as they pertain to specific advisors)</w:t>
            </w:r>
          </w:p>
        </w:tc>
        <w:tc>
          <w:tcPr>
            <w:tcW w:w="2245" w:type="dxa"/>
          </w:tcPr>
          <w:p w:rsidR="00247A46" w:rsidRDefault="00247A46" w:rsidP="002F13B0">
            <w:r>
              <w:t>Career Resource Center workshops</w:t>
            </w:r>
          </w:p>
          <w:p w:rsidR="00247A46" w:rsidRDefault="00247A46" w:rsidP="002F13B0"/>
          <w:p w:rsidR="00247A46" w:rsidRDefault="00247A46" w:rsidP="002F13B0">
            <w:r>
              <w:t>Knowledge and understanding of on-campus programs such as AIM, STEPUP, EFTP, TSTP, Preview</w:t>
            </w:r>
          </w:p>
          <w:p w:rsidR="00247A46" w:rsidRDefault="00247A46" w:rsidP="002F13B0"/>
          <w:p w:rsidR="00247A46" w:rsidRDefault="00247A46" w:rsidP="002F13B0"/>
        </w:tc>
      </w:tr>
    </w:tbl>
    <w:p w:rsidR="00247A46" w:rsidRDefault="00247A46"/>
    <w:p w:rsidR="00247A46" w:rsidRDefault="00247A46"/>
    <w:p w:rsidR="00247A46" w:rsidRDefault="00247A46"/>
    <w:p w:rsidR="00247A46" w:rsidRDefault="00247A46"/>
    <w:p w:rsidR="00247A46" w:rsidRDefault="005A1D32">
      <w:r>
        <w:rPr>
          <w:noProof/>
        </w:rPr>
        <w:lastRenderedPageBreak/>
        <w:drawing>
          <wp:inline distT="0" distB="0" distL="0" distR="0">
            <wp:extent cx="9144000" cy="6856511"/>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0" cy="6856511"/>
                    </a:xfrm>
                    <a:prstGeom prst="rect">
                      <a:avLst/>
                    </a:prstGeom>
                    <a:noFill/>
                    <a:ln>
                      <a:noFill/>
                    </a:ln>
                  </pic:spPr>
                </pic:pic>
              </a:graphicData>
            </a:graphic>
          </wp:inline>
        </w:drawing>
      </w:r>
    </w:p>
    <w:p w:rsidR="00247A46" w:rsidRDefault="005A1D32">
      <w:r>
        <w:rPr>
          <w:noProof/>
        </w:rPr>
        <w:lastRenderedPageBreak/>
        <w:drawing>
          <wp:inline distT="0" distB="0" distL="0" distR="0">
            <wp:extent cx="9144000" cy="6856511"/>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0" cy="6856511"/>
                    </a:xfrm>
                    <a:prstGeom prst="rect">
                      <a:avLst/>
                    </a:prstGeom>
                    <a:noFill/>
                    <a:ln>
                      <a:noFill/>
                    </a:ln>
                  </pic:spPr>
                </pic:pic>
              </a:graphicData>
            </a:graphic>
          </wp:inline>
        </w:drawing>
      </w:r>
    </w:p>
    <w:p w:rsidR="00247A46" w:rsidRDefault="00247A46"/>
    <w:tbl>
      <w:tblPr>
        <w:tblStyle w:val="TableGrid"/>
        <w:tblW w:w="13469" w:type="dxa"/>
        <w:tblLayout w:type="fixed"/>
        <w:tblLook w:val="04A0" w:firstRow="1" w:lastRow="0" w:firstColumn="1" w:lastColumn="0" w:noHBand="0" w:noVBand="1"/>
      </w:tblPr>
      <w:tblGrid>
        <w:gridCol w:w="2244"/>
        <w:gridCol w:w="2245"/>
        <w:gridCol w:w="2245"/>
        <w:gridCol w:w="2245"/>
        <w:gridCol w:w="2245"/>
        <w:gridCol w:w="2245"/>
      </w:tblGrid>
      <w:tr w:rsidR="00247A46" w:rsidTr="002F13B0">
        <w:tc>
          <w:tcPr>
            <w:tcW w:w="13469" w:type="dxa"/>
            <w:gridSpan w:val="6"/>
            <w:shd w:val="clear" w:color="auto" w:fill="92D050"/>
          </w:tcPr>
          <w:p w:rsidR="00247A46" w:rsidRDefault="00247A46" w:rsidP="002F13B0">
            <w:r>
              <w:t xml:space="preserve">LEVEL THREE:  </w:t>
            </w:r>
            <w:r w:rsidR="00E138FC">
              <w:t>Contributing to the profession. Advisors are making contribution to the profession through presentations, research, training and mentoring, and leadership</w:t>
            </w:r>
          </w:p>
        </w:tc>
      </w:tr>
      <w:tr w:rsidR="00247A46" w:rsidTr="002F13B0">
        <w:tc>
          <w:tcPr>
            <w:tcW w:w="2244" w:type="dxa"/>
          </w:tcPr>
          <w:p w:rsidR="00247A46" w:rsidRDefault="00247A46" w:rsidP="002F13B0">
            <w:r>
              <w:t>Advisors are involved in the development of tools to promote student success.</w:t>
            </w:r>
          </w:p>
          <w:p w:rsidR="00247A46" w:rsidRDefault="00247A46" w:rsidP="002F13B0"/>
          <w:p w:rsidR="00247A46" w:rsidRDefault="00247A46" w:rsidP="002F13B0">
            <w:r>
              <w:t>Advisors actively collaborate and share ideas.</w:t>
            </w:r>
          </w:p>
          <w:p w:rsidR="00247A46" w:rsidRDefault="00247A46" w:rsidP="002F13B0"/>
          <w:p w:rsidR="00247A46" w:rsidRDefault="00247A46" w:rsidP="002F13B0"/>
        </w:tc>
        <w:tc>
          <w:tcPr>
            <w:tcW w:w="2245" w:type="dxa"/>
          </w:tcPr>
          <w:p w:rsidR="00247A46" w:rsidRDefault="00247A46" w:rsidP="002F13B0"/>
        </w:tc>
        <w:tc>
          <w:tcPr>
            <w:tcW w:w="2245" w:type="dxa"/>
          </w:tcPr>
          <w:p w:rsidR="00247A46" w:rsidRDefault="00247A46" w:rsidP="002F13B0">
            <w:r>
              <w:t>Advisors provide training and information to other members of the advising community.</w:t>
            </w:r>
          </w:p>
        </w:tc>
        <w:tc>
          <w:tcPr>
            <w:tcW w:w="2245" w:type="dxa"/>
          </w:tcPr>
          <w:p w:rsidR="00247A46" w:rsidRDefault="00247A46" w:rsidP="002F13B0">
            <w:r>
              <w:t>Advisors are well-versed in advising theory and practice.</w:t>
            </w:r>
          </w:p>
          <w:p w:rsidR="00247A46" w:rsidRDefault="00247A46" w:rsidP="002F13B0"/>
          <w:p w:rsidR="00247A46" w:rsidRDefault="00247A46" w:rsidP="002F13B0">
            <w:r>
              <w:t>Advisors have an advising philosophy.</w:t>
            </w:r>
          </w:p>
        </w:tc>
        <w:tc>
          <w:tcPr>
            <w:tcW w:w="2245" w:type="dxa"/>
          </w:tcPr>
          <w:p w:rsidR="00247A46" w:rsidRDefault="00247A46" w:rsidP="002F13B0"/>
        </w:tc>
        <w:tc>
          <w:tcPr>
            <w:tcW w:w="2245" w:type="dxa"/>
          </w:tcPr>
          <w:p w:rsidR="00247A46" w:rsidRDefault="00247A46" w:rsidP="002F13B0"/>
        </w:tc>
      </w:tr>
    </w:tbl>
    <w:p w:rsidR="00247A46" w:rsidRDefault="00247A46" w:rsidP="00247A46"/>
    <w:p w:rsidR="00247A46" w:rsidRDefault="00247A46" w:rsidP="00247A46"/>
    <w:p w:rsidR="00247A46" w:rsidRDefault="00247A46">
      <w:r>
        <w:rPr>
          <w:noProof/>
        </w:rPr>
        <w:lastRenderedPageBreak/>
        <w:drawing>
          <wp:inline distT="0" distB="0" distL="0" distR="0">
            <wp:extent cx="9144000" cy="685651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0" cy="6856511"/>
                    </a:xfrm>
                    <a:prstGeom prst="rect">
                      <a:avLst/>
                    </a:prstGeom>
                    <a:noFill/>
                    <a:ln>
                      <a:noFill/>
                    </a:ln>
                  </pic:spPr>
                </pic:pic>
              </a:graphicData>
            </a:graphic>
          </wp:inline>
        </w:drawing>
      </w:r>
    </w:p>
    <w:p w:rsidR="00322800" w:rsidRDefault="00322800">
      <w:r>
        <w:rPr>
          <w:noProof/>
        </w:rPr>
        <w:lastRenderedPageBreak/>
        <w:drawing>
          <wp:inline distT="0" distB="0" distL="0" distR="0">
            <wp:extent cx="9144000" cy="6856511"/>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0" cy="6856511"/>
                    </a:xfrm>
                    <a:prstGeom prst="rect">
                      <a:avLst/>
                    </a:prstGeom>
                    <a:noFill/>
                    <a:ln>
                      <a:noFill/>
                    </a:ln>
                  </pic:spPr>
                </pic:pic>
              </a:graphicData>
            </a:graphic>
          </wp:inline>
        </w:drawing>
      </w:r>
    </w:p>
    <w:sectPr w:rsidR="00322800" w:rsidSect="00C95A2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37F99"/>
    <w:multiLevelType w:val="hybridMultilevel"/>
    <w:tmpl w:val="B7A4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ED384A"/>
    <w:multiLevelType w:val="hybridMultilevel"/>
    <w:tmpl w:val="73FA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0B7EF2"/>
    <w:multiLevelType w:val="hybridMultilevel"/>
    <w:tmpl w:val="C47E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7F"/>
    <w:rsid w:val="00130C7F"/>
    <w:rsid w:val="00247A46"/>
    <w:rsid w:val="00286BB5"/>
    <w:rsid w:val="00322800"/>
    <w:rsid w:val="00322F73"/>
    <w:rsid w:val="0040211C"/>
    <w:rsid w:val="005A1D32"/>
    <w:rsid w:val="006A72AE"/>
    <w:rsid w:val="008F79BD"/>
    <w:rsid w:val="00980C28"/>
    <w:rsid w:val="009F4F9C"/>
    <w:rsid w:val="00AE60EF"/>
    <w:rsid w:val="00BE4CC2"/>
    <w:rsid w:val="00C95A24"/>
    <w:rsid w:val="00D4444A"/>
    <w:rsid w:val="00DA20BC"/>
    <w:rsid w:val="00E138FC"/>
    <w:rsid w:val="00E6401A"/>
    <w:rsid w:val="00EB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0C28"/>
    <w:pPr>
      <w:ind w:left="720"/>
      <w:contextualSpacing/>
    </w:pPr>
  </w:style>
  <w:style w:type="paragraph" w:styleId="BalloonText">
    <w:name w:val="Balloon Text"/>
    <w:basedOn w:val="Normal"/>
    <w:link w:val="BalloonTextChar"/>
    <w:uiPriority w:val="99"/>
    <w:semiHidden/>
    <w:unhideWhenUsed/>
    <w:rsid w:val="00247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0C28"/>
    <w:pPr>
      <w:ind w:left="720"/>
      <w:contextualSpacing/>
    </w:pPr>
  </w:style>
  <w:style w:type="paragraph" w:styleId="BalloonText">
    <w:name w:val="Balloon Text"/>
    <w:basedOn w:val="Normal"/>
    <w:link w:val="BalloonTextChar"/>
    <w:uiPriority w:val="99"/>
    <w:semiHidden/>
    <w:unhideWhenUsed/>
    <w:rsid w:val="00247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Mayhew,Deborah M</dc:creator>
  <cp:lastModifiedBy>Rossie, Robin</cp:lastModifiedBy>
  <cp:revision>11</cp:revision>
  <cp:lastPrinted>2013-07-18T14:15:00Z</cp:lastPrinted>
  <dcterms:created xsi:type="dcterms:W3CDTF">2013-06-19T18:22:00Z</dcterms:created>
  <dcterms:modified xsi:type="dcterms:W3CDTF">2013-07-18T14:20:00Z</dcterms:modified>
</cp:coreProperties>
</file>